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56E7" w14:textId="060E6275" w:rsidR="0065005B" w:rsidRPr="003B60D1" w:rsidRDefault="00AB24D3">
      <w:pPr>
        <w:spacing w:before="90"/>
        <w:ind w:left="2480" w:right="2374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City of Omak</w:t>
      </w:r>
    </w:p>
    <w:p w14:paraId="637E9D67" w14:textId="77777777" w:rsidR="0065005B" w:rsidRPr="00F25DB8" w:rsidRDefault="00F25DB8" w:rsidP="00F25DB8">
      <w:pPr>
        <w:ind w:left="2340" w:right="2419"/>
        <w:jc w:val="center"/>
        <w:rPr>
          <w:i/>
          <w:sz w:val="28"/>
        </w:rPr>
      </w:pPr>
      <w:bookmarkStart w:id="0" w:name="STATE_ENVIRONMENTAL_POLICY_ACT"/>
      <w:bookmarkEnd w:id="0"/>
      <w:r w:rsidRPr="00F25DB8">
        <w:rPr>
          <w:i/>
          <w:sz w:val="28"/>
        </w:rPr>
        <w:t>STATE ENVIRONMENTAL POLICY ACT</w:t>
      </w:r>
    </w:p>
    <w:p w14:paraId="0B696F2F" w14:textId="77777777" w:rsidR="0065005B" w:rsidRPr="008D3BFF" w:rsidRDefault="008D3BFF" w:rsidP="008D3BFF">
      <w:pPr>
        <w:pStyle w:val="Heading2"/>
        <w:jc w:val="center"/>
        <w:rPr>
          <w:rStyle w:val="Strong"/>
          <w:rFonts w:ascii="Times New Roman" w:hAnsi="Times New Roman" w:cs="Times New Roman"/>
          <w:bCs w:val="0"/>
          <w:color w:val="auto"/>
          <w:sz w:val="32"/>
        </w:rPr>
      </w:pPr>
      <w:bookmarkStart w:id="1" w:name="DETERMINATION_OF_NONSIGNIFICANCE"/>
      <w:bookmarkEnd w:id="1"/>
      <w:r w:rsidRPr="008D3BFF">
        <w:rPr>
          <w:rStyle w:val="Strong"/>
          <w:rFonts w:ascii="Times New Roman" w:hAnsi="Times New Roman" w:cs="Times New Roman"/>
          <w:bCs w:val="0"/>
          <w:color w:val="auto"/>
          <w:sz w:val="32"/>
        </w:rPr>
        <w:t>Determination of Non</w:t>
      </w:r>
      <w:r w:rsidR="003B60D1">
        <w:rPr>
          <w:rStyle w:val="Strong"/>
          <w:rFonts w:ascii="Times New Roman" w:hAnsi="Times New Roman" w:cs="Times New Roman"/>
          <w:bCs w:val="0"/>
          <w:color w:val="auto"/>
          <w:sz w:val="32"/>
        </w:rPr>
        <w:t>-</w:t>
      </w:r>
      <w:r w:rsidRPr="008D3BFF">
        <w:rPr>
          <w:rStyle w:val="Strong"/>
          <w:rFonts w:ascii="Times New Roman" w:hAnsi="Times New Roman" w:cs="Times New Roman"/>
          <w:bCs w:val="0"/>
          <w:color w:val="auto"/>
          <w:sz w:val="32"/>
        </w:rPr>
        <w:t>Significance</w:t>
      </w:r>
    </w:p>
    <w:p w14:paraId="66DB0DBA" w14:textId="77777777" w:rsidR="0065005B" w:rsidRDefault="0065005B">
      <w:pPr>
        <w:pStyle w:val="BodyText"/>
        <w:rPr>
          <w:sz w:val="20"/>
          <w:u w:val="none"/>
        </w:rPr>
      </w:pPr>
    </w:p>
    <w:p w14:paraId="7CAA867D" w14:textId="77777777" w:rsidR="0065005B" w:rsidRDefault="0065005B">
      <w:pPr>
        <w:pStyle w:val="BodyText"/>
        <w:spacing w:before="1"/>
        <w:rPr>
          <w:sz w:val="20"/>
          <w:u w:val="none"/>
        </w:rPr>
      </w:pPr>
    </w:p>
    <w:p w14:paraId="34F65528" w14:textId="792800E3" w:rsidR="003B60D1" w:rsidRDefault="003B60D1" w:rsidP="005C0103">
      <w:pPr>
        <w:pStyle w:val="BodyText"/>
        <w:spacing w:before="90" w:line="480" w:lineRule="auto"/>
        <w:ind w:left="120" w:right="6480"/>
        <w:rPr>
          <w:u w:val="none"/>
        </w:rPr>
      </w:pPr>
      <w:r>
        <w:rPr>
          <w:u w:val="none"/>
        </w:rPr>
        <w:t xml:space="preserve">Date: </w:t>
      </w:r>
      <w:r w:rsidR="00221CBD">
        <w:rPr>
          <w:i/>
        </w:rPr>
        <w:t xml:space="preserve">October </w:t>
      </w:r>
      <w:r w:rsidR="00A53C66">
        <w:rPr>
          <w:i/>
        </w:rPr>
        <w:t>4</w:t>
      </w:r>
      <w:r w:rsidRPr="003B60D1">
        <w:rPr>
          <w:i/>
        </w:rPr>
        <w:t>,</w:t>
      </w:r>
      <w:r w:rsidR="005C0103">
        <w:rPr>
          <w:i/>
        </w:rPr>
        <w:t xml:space="preserve"> </w:t>
      </w:r>
      <w:r w:rsidRPr="003B60D1">
        <w:rPr>
          <w:i/>
        </w:rPr>
        <w:t>20</w:t>
      </w:r>
      <w:r w:rsidR="00AB24D3">
        <w:rPr>
          <w:i/>
        </w:rPr>
        <w:t>2</w:t>
      </w:r>
      <w:r w:rsidR="00221CBD">
        <w:rPr>
          <w:i/>
        </w:rPr>
        <w:t>3</w:t>
      </w:r>
      <w:r w:rsidR="00F25DB8">
        <w:rPr>
          <w:u w:val="none"/>
        </w:rPr>
        <w:t xml:space="preserve"> </w:t>
      </w:r>
    </w:p>
    <w:p w14:paraId="692DC129" w14:textId="65FE2340" w:rsidR="0065005B" w:rsidRDefault="003B60D1" w:rsidP="003B60D1">
      <w:pPr>
        <w:pStyle w:val="BodyText"/>
        <w:spacing w:before="90" w:line="480" w:lineRule="auto"/>
        <w:ind w:left="120" w:right="3870"/>
        <w:rPr>
          <w:u w:val="none"/>
        </w:rPr>
      </w:pPr>
      <w:r>
        <w:rPr>
          <w:u w:val="none"/>
        </w:rPr>
        <w:t xml:space="preserve">Lead </w:t>
      </w:r>
      <w:r w:rsidR="00F25DB8">
        <w:rPr>
          <w:u w:val="none"/>
        </w:rPr>
        <w:t>agency:</w:t>
      </w:r>
      <w:r>
        <w:rPr>
          <w:u w:val="none"/>
        </w:rPr>
        <w:t xml:space="preserve"> </w:t>
      </w:r>
      <w:r w:rsidR="00AB24D3">
        <w:rPr>
          <w:i/>
        </w:rPr>
        <w:t>City of Omak</w:t>
      </w:r>
    </w:p>
    <w:p w14:paraId="1B5835BC" w14:textId="08967D2E" w:rsidR="0065005B" w:rsidRDefault="00F25DB8">
      <w:pPr>
        <w:spacing w:before="9"/>
        <w:ind w:left="120"/>
        <w:rPr>
          <w:i/>
          <w:sz w:val="24"/>
        </w:rPr>
      </w:pPr>
      <w:r>
        <w:rPr>
          <w:sz w:val="24"/>
        </w:rPr>
        <w:t xml:space="preserve">Agency Contact: </w:t>
      </w:r>
      <w:r w:rsidR="00AB24D3">
        <w:rPr>
          <w:i/>
          <w:sz w:val="24"/>
          <w:u w:val="single"/>
        </w:rPr>
        <w:t>Tyler Wells</w:t>
      </w:r>
      <w:r w:rsidR="003B60D1" w:rsidRPr="003B60D1">
        <w:rPr>
          <w:i/>
          <w:sz w:val="24"/>
          <w:u w:val="single"/>
        </w:rPr>
        <w:t xml:space="preserve">, </w:t>
      </w:r>
      <w:r w:rsidR="00AB24D3">
        <w:rPr>
          <w:i/>
          <w:sz w:val="24"/>
          <w:u w:val="single"/>
        </w:rPr>
        <w:t>build@omakcity.com,</w:t>
      </w:r>
      <w:r w:rsidR="003B60D1">
        <w:rPr>
          <w:i/>
          <w:sz w:val="24"/>
          <w:u w:val="single"/>
        </w:rPr>
        <w:t xml:space="preserve"> </w:t>
      </w:r>
      <w:r w:rsidR="00AB24D3">
        <w:rPr>
          <w:i/>
          <w:sz w:val="24"/>
          <w:u w:val="single"/>
        </w:rPr>
        <w:t>City of Omak</w:t>
      </w:r>
      <w:r w:rsidR="003B60D1">
        <w:rPr>
          <w:i/>
          <w:sz w:val="24"/>
          <w:u w:val="single"/>
        </w:rPr>
        <w:t>, P.O. Box 7</w:t>
      </w:r>
      <w:r w:rsidR="00AB24D3">
        <w:rPr>
          <w:i/>
          <w:sz w:val="24"/>
          <w:u w:val="single"/>
        </w:rPr>
        <w:t>2</w:t>
      </w:r>
      <w:r w:rsidR="003B60D1">
        <w:rPr>
          <w:i/>
          <w:sz w:val="24"/>
          <w:u w:val="single"/>
        </w:rPr>
        <w:t xml:space="preserve">, </w:t>
      </w:r>
      <w:r w:rsidR="00AB24D3">
        <w:rPr>
          <w:i/>
          <w:sz w:val="24"/>
          <w:u w:val="single"/>
        </w:rPr>
        <w:t>Omak</w:t>
      </w:r>
      <w:r w:rsidR="003B60D1">
        <w:rPr>
          <w:i/>
          <w:sz w:val="24"/>
          <w:u w:val="single"/>
        </w:rPr>
        <w:t>, WA 988</w:t>
      </w:r>
      <w:r w:rsidR="00AB24D3">
        <w:rPr>
          <w:i/>
          <w:sz w:val="24"/>
          <w:u w:val="single"/>
        </w:rPr>
        <w:t>41</w:t>
      </w:r>
      <w:r w:rsidR="003B60D1">
        <w:rPr>
          <w:i/>
          <w:sz w:val="24"/>
          <w:u w:val="single"/>
        </w:rPr>
        <w:t xml:space="preserve">, 509 </w:t>
      </w:r>
      <w:r w:rsidR="00AB24D3">
        <w:rPr>
          <w:i/>
          <w:sz w:val="24"/>
          <w:u w:val="single"/>
        </w:rPr>
        <w:t>826</w:t>
      </w:r>
      <w:r w:rsidR="003B60D1">
        <w:rPr>
          <w:i/>
          <w:sz w:val="24"/>
          <w:u w:val="single"/>
        </w:rPr>
        <w:t xml:space="preserve"> </w:t>
      </w:r>
      <w:r w:rsidR="00AB24D3">
        <w:rPr>
          <w:i/>
          <w:sz w:val="24"/>
          <w:u w:val="single"/>
        </w:rPr>
        <w:t>1170</w:t>
      </w:r>
    </w:p>
    <w:p w14:paraId="22124018" w14:textId="77777777" w:rsidR="0065005B" w:rsidRDefault="0065005B">
      <w:pPr>
        <w:pStyle w:val="BodyText"/>
        <w:spacing w:before="11"/>
        <w:rPr>
          <w:i/>
          <w:sz w:val="23"/>
          <w:u w:val="none"/>
        </w:rPr>
      </w:pPr>
    </w:p>
    <w:p w14:paraId="3131A78B" w14:textId="494C255F" w:rsidR="0065005B" w:rsidRDefault="00F25DB8">
      <w:pPr>
        <w:ind w:left="120"/>
        <w:rPr>
          <w:sz w:val="24"/>
        </w:rPr>
      </w:pPr>
      <w:r>
        <w:rPr>
          <w:sz w:val="24"/>
        </w:rPr>
        <w:t xml:space="preserve">Agency File Number:  </w:t>
      </w:r>
      <w:r w:rsidR="00221CBD">
        <w:rPr>
          <w:i/>
          <w:sz w:val="24"/>
          <w:u w:val="single"/>
        </w:rPr>
        <w:t>ZA23-01</w:t>
      </w:r>
    </w:p>
    <w:p w14:paraId="58F55CA1" w14:textId="77777777" w:rsidR="0065005B" w:rsidRDefault="0065005B">
      <w:pPr>
        <w:pStyle w:val="BodyText"/>
        <w:rPr>
          <w:u w:val="none"/>
        </w:rPr>
      </w:pPr>
    </w:p>
    <w:p w14:paraId="1AB06297" w14:textId="75BA7E05" w:rsidR="003B60D1" w:rsidRDefault="000665B5" w:rsidP="00221CBD">
      <w:pPr>
        <w:pStyle w:val="HRt-2"/>
        <w:widowControl/>
        <w:tabs>
          <w:tab w:val="clear" w:pos="-720"/>
        </w:tabs>
        <w:ind w:left="90" w:right="900"/>
        <w:rPr>
          <w:sz w:val="16"/>
        </w:rPr>
      </w:pPr>
      <w:r w:rsidRPr="000665B5">
        <w:rPr>
          <w:rFonts w:ascii="Times New Roman" w:hAnsi="Times New Roman"/>
        </w:rPr>
        <w:t xml:space="preserve">The </w:t>
      </w:r>
      <w:r w:rsidR="00AB24D3">
        <w:rPr>
          <w:rFonts w:ascii="Times New Roman" w:hAnsi="Times New Roman"/>
        </w:rPr>
        <w:t>City of Omak</w:t>
      </w:r>
      <w:r w:rsidRPr="000665B5">
        <w:rPr>
          <w:rFonts w:ascii="Times New Roman" w:hAnsi="Times New Roman"/>
        </w:rPr>
        <w:t xml:space="preserve"> is proposing to </w:t>
      </w:r>
      <w:r>
        <w:rPr>
          <w:rFonts w:ascii="Times New Roman" w:hAnsi="Times New Roman"/>
        </w:rPr>
        <w:t xml:space="preserve">adopt </w:t>
      </w:r>
      <w:r w:rsidR="00221CBD" w:rsidRPr="00221CBD">
        <w:rPr>
          <w:rFonts w:ascii="Times New Roman" w:hAnsi="Times New Roman"/>
        </w:rPr>
        <w:t>Amendments to Chapter 18.08 OMC to add new definitions, Chapter 18.11.050 OMC District Use Chart to add new uses and Chapter 18.16.030 Omak to add a new Section (b)(3) with conditions for picobreweries as a home occupation.</w:t>
      </w:r>
    </w:p>
    <w:p w14:paraId="7BC2F333" w14:textId="7F0910B5" w:rsidR="0065005B" w:rsidRDefault="003B60D1">
      <w:pPr>
        <w:pStyle w:val="BodyText"/>
        <w:tabs>
          <w:tab w:val="left" w:pos="1533"/>
        </w:tabs>
        <w:spacing w:before="90"/>
        <w:ind w:left="119" w:right="188"/>
        <w:rPr>
          <w:u w:val="none"/>
        </w:rPr>
      </w:pPr>
      <w:r>
        <w:rPr>
          <w:spacing w:val="-3"/>
          <w:u w:val="none"/>
        </w:rPr>
        <w:t xml:space="preserve">The </w:t>
      </w:r>
      <w:proofErr w:type="gramStart"/>
      <w:r w:rsidR="00AB24D3">
        <w:rPr>
          <w:spacing w:val="-3"/>
          <w:u w:val="none"/>
        </w:rPr>
        <w:t>City</w:t>
      </w:r>
      <w:proofErr w:type="gramEnd"/>
      <w:r w:rsidR="002A543A">
        <w:rPr>
          <w:spacing w:val="-3"/>
          <w:u w:val="none"/>
        </w:rPr>
        <w:t xml:space="preserve"> </w:t>
      </w:r>
      <w:r w:rsidR="00F25DB8">
        <w:rPr>
          <w:spacing w:val="-3"/>
          <w:u w:val="none"/>
        </w:rPr>
        <w:t xml:space="preserve">has determined </w:t>
      </w:r>
      <w:r w:rsidR="00F25DB8">
        <w:rPr>
          <w:u w:val="none"/>
        </w:rPr>
        <w:t xml:space="preserve">that this </w:t>
      </w:r>
      <w:r w:rsidR="00F25DB8">
        <w:rPr>
          <w:spacing w:val="-3"/>
          <w:u w:val="none"/>
        </w:rPr>
        <w:t xml:space="preserve">proposal </w:t>
      </w:r>
      <w:r w:rsidR="00F25DB8">
        <w:rPr>
          <w:u w:val="none"/>
        </w:rPr>
        <w:t>will not have a</w:t>
      </w:r>
      <w:r w:rsidR="00F25DB8">
        <w:rPr>
          <w:spacing w:val="-26"/>
          <w:u w:val="none"/>
        </w:rPr>
        <w:t xml:space="preserve"> </w:t>
      </w:r>
      <w:r w:rsidR="00F25DB8">
        <w:rPr>
          <w:spacing w:val="-3"/>
          <w:u w:val="none"/>
        </w:rPr>
        <w:t>probable</w:t>
      </w:r>
      <w:r w:rsidR="00F25DB8">
        <w:rPr>
          <w:spacing w:val="-6"/>
          <w:u w:val="none"/>
        </w:rPr>
        <w:t xml:space="preserve"> </w:t>
      </w:r>
      <w:r w:rsidR="00F25DB8">
        <w:rPr>
          <w:spacing w:val="-3"/>
          <w:u w:val="none"/>
        </w:rPr>
        <w:t xml:space="preserve">significant adverse </w:t>
      </w:r>
      <w:r w:rsidR="00F25DB8">
        <w:rPr>
          <w:u w:val="none"/>
        </w:rPr>
        <w:t xml:space="preserve">impact on the </w:t>
      </w:r>
      <w:r w:rsidR="00F25DB8">
        <w:rPr>
          <w:spacing w:val="-3"/>
          <w:u w:val="none"/>
        </w:rPr>
        <w:t xml:space="preserve">environment. </w:t>
      </w:r>
      <w:r w:rsidR="00F25DB8">
        <w:rPr>
          <w:u w:val="none"/>
        </w:rPr>
        <w:t xml:space="preserve">An </w:t>
      </w:r>
      <w:r w:rsidR="00F25DB8">
        <w:rPr>
          <w:spacing w:val="-3"/>
          <w:u w:val="none"/>
        </w:rPr>
        <w:t xml:space="preserve">environmental </w:t>
      </w:r>
      <w:r w:rsidR="00F25DB8">
        <w:rPr>
          <w:u w:val="none"/>
        </w:rPr>
        <w:t xml:space="preserve">impact </w:t>
      </w:r>
      <w:r w:rsidR="00F25DB8">
        <w:rPr>
          <w:spacing w:val="-3"/>
          <w:u w:val="none"/>
        </w:rPr>
        <w:t xml:space="preserve">statement </w:t>
      </w:r>
      <w:r w:rsidR="00F25DB8">
        <w:rPr>
          <w:u w:val="none"/>
        </w:rPr>
        <w:t xml:space="preserve">(EIS) is not </w:t>
      </w:r>
      <w:r w:rsidR="00F25DB8">
        <w:rPr>
          <w:spacing w:val="-3"/>
          <w:u w:val="none"/>
        </w:rPr>
        <w:t xml:space="preserve">required </w:t>
      </w:r>
      <w:r w:rsidR="00F25DB8">
        <w:rPr>
          <w:u w:val="none"/>
        </w:rPr>
        <w:t xml:space="preserve">under RCW </w:t>
      </w:r>
      <w:r w:rsidR="00F25DB8">
        <w:rPr>
          <w:spacing w:val="-3"/>
          <w:u w:val="none"/>
        </w:rPr>
        <w:t xml:space="preserve">43.21C.030(2)(c). </w:t>
      </w:r>
      <w:r w:rsidR="00AB24D3">
        <w:rPr>
          <w:u w:val="none"/>
        </w:rPr>
        <w:t>A copy of the</w:t>
      </w:r>
      <w:r w:rsidR="00F25DB8">
        <w:rPr>
          <w:u w:val="none"/>
        </w:rPr>
        <w:t xml:space="preserve"> </w:t>
      </w:r>
      <w:r>
        <w:rPr>
          <w:spacing w:val="-3"/>
          <w:u w:val="none"/>
        </w:rPr>
        <w:t>Environmental Checklist</w:t>
      </w:r>
      <w:r w:rsidR="00AB24D3">
        <w:rPr>
          <w:spacing w:val="-3"/>
          <w:u w:val="none"/>
        </w:rPr>
        <w:t xml:space="preserve"> and draft plan are available for review at</w:t>
      </w:r>
      <w:r>
        <w:rPr>
          <w:spacing w:val="-2"/>
          <w:u w:val="none"/>
        </w:rPr>
        <w:t xml:space="preserve"> </w:t>
      </w:r>
      <w:r w:rsidR="00AB24D3">
        <w:rPr>
          <w:spacing w:val="-2"/>
          <w:u w:val="none"/>
        </w:rPr>
        <w:t xml:space="preserve">Omak City </w:t>
      </w:r>
      <w:r>
        <w:rPr>
          <w:spacing w:val="-2"/>
          <w:u w:val="none"/>
        </w:rPr>
        <w:t>Hall.</w:t>
      </w:r>
    </w:p>
    <w:p w14:paraId="00F8DC26" w14:textId="77777777" w:rsidR="0065005B" w:rsidRDefault="0065005B">
      <w:pPr>
        <w:pStyle w:val="BodyText"/>
        <w:rPr>
          <w:u w:val="none"/>
        </w:rPr>
      </w:pPr>
    </w:p>
    <w:p w14:paraId="66225194" w14:textId="77777777" w:rsidR="0065005B" w:rsidRDefault="00F25DB8">
      <w:pPr>
        <w:pStyle w:val="BodyText"/>
        <w:ind w:left="119"/>
        <w:rPr>
          <w:u w:val="none"/>
        </w:rPr>
      </w:pPr>
      <w:r>
        <w:rPr>
          <w:u w:val="none"/>
        </w:rPr>
        <w:t>This determination is based on the following findings and conclusions:</w:t>
      </w:r>
    </w:p>
    <w:p w14:paraId="4DA08850" w14:textId="77777777" w:rsidR="0065005B" w:rsidRDefault="0065005B">
      <w:pPr>
        <w:pStyle w:val="BodyText"/>
        <w:spacing w:before="11"/>
        <w:rPr>
          <w:sz w:val="23"/>
          <w:u w:val="none"/>
        </w:rPr>
      </w:pPr>
    </w:p>
    <w:p w14:paraId="229A396F" w14:textId="4F564467" w:rsidR="0065005B" w:rsidRDefault="000665B5">
      <w:pPr>
        <w:ind w:left="839"/>
        <w:rPr>
          <w:i/>
          <w:sz w:val="24"/>
        </w:rPr>
      </w:pPr>
      <w:r>
        <w:rPr>
          <w:spacing w:val="-3"/>
          <w:sz w:val="24"/>
        </w:rPr>
        <w:t xml:space="preserve">Adoption of the </w:t>
      </w:r>
      <w:r w:rsidR="00217EA9">
        <w:rPr>
          <w:spacing w:val="-3"/>
          <w:sz w:val="24"/>
        </w:rPr>
        <w:t>amendments to the Zoning Code</w:t>
      </w:r>
      <w:r w:rsidR="006B02D8">
        <w:rPr>
          <w:snapToGrid w:val="0"/>
        </w:rPr>
        <w:t xml:space="preserve"> </w:t>
      </w:r>
      <w:r>
        <w:rPr>
          <w:spacing w:val="-3"/>
          <w:sz w:val="24"/>
        </w:rPr>
        <w:t xml:space="preserve">is considered a non-project action and will have no adverse-affect-on the environment. </w:t>
      </w:r>
      <w:r w:rsidR="00AB24D3">
        <w:rPr>
          <w:spacing w:val="-3"/>
          <w:sz w:val="24"/>
        </w:rPr>
        <w:t>Prior to any development activities, additional SEPA review will be required as appropriate.</w:t>
      </w:r>
    </w:p>
    <w:p w14:paraId="119A1F09" w14:textId="77777777" w:rsidR="0065005B" w:rsidRDefault="0065005B">
      <w:pPr>
        <w:pStyle w:val="BodyText"/>
        <w:spacing w:before="11"/>
        <w:rPr>
          <w:i/>
          <w:sz w:val="23"/>
          <w:u w:val="none"/>
        </w:rPr>
      </w:pPr>
    </w:p>
    <w:p w14:paraId="60A5493A" w14:textId="755FD245" w:rsidR="00686B53" w:rsidRPr="00686B53" w:rsidRDefault="00F25DB8" w:rsidP="00686B53">
      <w:pPr>
        <w:spacing w:before="9"/>
        <w:ind w:left="120"/>
        <w:rPr>
          <w:sz w:val="24"/>
          <w:szCs w:val="24"/>
        </w:rPr>
      </w:pPr>
      <w:r w:rsidRPr="00686B53">
        <w:rPr>
          <w:sz w:val="24"/>
          <w:szCs w:val="24"/>
        </w:rPr>
        <w:t xml:space="preserve">This DNS is </w:t>
      </w:r>
      <w:r w:rsidRPr="00686B53">
        <w:rPr>
          <w:spacing w:val="-2"/>
          <w:sz w:val="24"/>
          <w:szCs w:val="24"/>
        </w:rPr>
        <w:t xml:space="preserve">issued </w:t>
      </w:r>
      <w:r w:rsidRPr="00686B53">
        <w:rPr>
          <w:sz w:val="24"/>
          <w:szCs w:val="24"/>
        </w:rPr>
        <w:t xml:space="preserve">under WAC </w:t>
      </w:r>
      <w:r w:rsidRPr="00686B53">
        <w:rPr>
          <w:spacing w:val="-3"/>
          <w:sz w:val="24"/>
          <w:szCs w:val="24"/>
        </w:rPr>
        <w:t xml:space="preserve">197-11-340(2) </w:t>
      </w:r>
      <w:r w:rsidRPr="00686B53">
        <w:rPr>
          <w:sz w:val="24"/>
          <w:szCs w:val="24"/>
        </w:rPr>
        <w:t xml:space="preserve">and the </w:t>
      </w:r>
      <w:r w:rsidRPr="00686B53">
        <w:rPr>
          <w:spacing w:val="-3"/>
          <w:sz w:val="24"/>
          <w:szCs w:val="24"/>
        </w:rPr>
        <w:t>comment</w:t>
      </w:r>
      <w:r w:rsidR="00686B53">
        <w:rPr>
          <w:spacing w:val="-3"/>
          <w:sz w:val="24"/>
          <w:szCs w:val="24"/>
        </w:rPr>
        <w:t>/appeal</w:t>
      </w:r>
      <w:r w:rsidRPr="00686B53">
        <w:rPr>
          <w:spacing w:val="-3"/>
          <w:sz w:val="24"/>
          <w:szCs w:val="24"/>
        </w:rPr>
        <w:t xml:space="preserve"> period </w:t>
      </w:r>
      <w:r w:rsidRPr="00686B53">
        <w:rPr>
          <w:sz w:val="24"/>
          <w:szCs w:val="24"/>
        </w:rPr>
        <w:t xml:space="preserve">will </w:t>
      </w:r>
      <w:r w:rsidRPr="00686B53">
        <w:rPr>
          <w:spacing w:val="-3"/>
          <w:sz w:val="24"/>
          <w:szCs w:val="24"/>
        </w:rPr>
        <w:t xml:space="preserve">end </w:t>
      </w:r>
      <w:r w:rsidRPr="00686B53">
        <w:rPr>
          <w:sz w:val="24"/>
          <w:szCs w:val="24"/>
        </w:rPr>
        <w:t xml:space="preserve">on </w:t>
      </w:r>
      <w:r w:rsidR="0006463D">
        <w:rPr>
          <w:spacing w:val="-3"/>
          <w:sz w:val="24"/>
          <w:szCs w:val="24"/>
        </w:rPr>
        <w:t>October 25</w:t>
      </w:r>
      <w:r w:rsidR="00686B53">
        <w:rPr>
          <w:spacing w:val="-3"/>
          <w:sz w:val="24"/>
          <w:szCs w:val="24"/>
        </w:rPr>
        <w:t xml:space="preserve">, </w:t>
      </w:r>
      <w:r w:rsidR="003B60D1" w:rsidRPr="00686B53">
        <w:rPr>
          <w:spacing w:val="-3"/>
          <w:sz w:val="24"/>
          <w:szCs w:val="24"/>
        </w:rPr>
        <w:t>20</w:t>
      </w:r>
      <w:r w:rsidR="00AB24D3">
        <w:rPr>
          <w:spacing w:val="-3"/>
          <w:sz w:val="24"/>
          <w:szCs w:val="24"/>
        </w:rPr>
        <w:t>2</w:t>
      </w:r>
      <w:r w:rsidR="0006463D">
        <w:rPr>
          <w:spacing w:val="-3"/>
          <w:sz w:val="24"/>
          <w:szCs w:val="24"/>
        </w:rPr>
        <w:t>3</w:t>
      </w:r>
      <w:r w:rsidRPr="00686B53">
        <w:rPr>
          <w:spacing w:val="-3"/>
          <w:sz w:val="24"/>
          <w:szCs w:val="24"/>
        </w:rPr>
        <w:t xml:space="preserve">. </w:t>
      </w:r>
      <w:r w:rsidR="003B60D1" w:rsidRPr="00686B53">
        <w:rPr>
          <w:spacing w:val="-3"/>
          <w:sz w:val="24"/>
          <w:szCs w:val="24"/>
        </w:rPr>
        <w:t xml:space="preserve">Comments and/or appeals must be made in writing to </w:t>
      </w:r>
      <w:r w:rsidR="00AB24D3">
        <w:rPr>
          <w:spacing w:val="-3"/>
          <w:sz w:val="24"/>
          <w:szCs w:val="24"/>
        </w:rPr>
        <w:t>Connie Thomas</w:t>
      </w:r>
      <w:r w:rsidR="003B60D1" w:rsidRPr="00686B53">
        <w:rPr>
          <w:spacing w:val="-3"/>
          <w:sz w:val="24"/>
          <w:szCs w:val="24"/>
        </w:rPr>
        <w:t xml:space="preserve">, </w:t>
      </w:r>
      <w:r w:rsidR="00AB24D3">
        <w:rPr>
          <w:spacing w:val="-3"/>
          <w:sz w:val="24"/>
          <w:szCs w:val="24"/>
        </w:rPr>
        <w:t>City</w:t>
      </w:r>
      <w:r w:rsidR="003B60D1" w:rsidRPr="00686B53">
        <w:rPr>
          <w:spacing w:val="-3"/>
          <w:sz w:val="24"/>
          <w:szCs w:val="24"/>
        </w:rPr>
        <w:t xml:space="preserve"> Clerk, </w:t>
      </w:r>
      <w:r w:rsidR="00AB24D3">
        <w:rPr>
          <w:spacing w:val="-3"/>
          <w:sz w:val="24"/>
          <w:szCs w:val="24"/>
        </w:rPr>
        <w:t>Clerk@omakcity.com</w:t>
      </w:r>
      <w:r w:rsidR="00686B53" w:rsidRPr="00686B53">
        <w:rPr>
          <w:spacing w:val="-3"/>
          <w:sz w:val="24"/>
          <w:szCs w:val="24"/>
        </w:rPr>
        <w:t xml:space="preserve">, </w:t>
      </w:r>
      <w:r w:rsidR="00AB24D3">
        <w:rPr>
          <w:spacing w:val="-3"/>
          <w:sz w:val="24"/>
          <w:szCs w:val="24"/>
        </w:rPr>
        <w:t>City of Omak</w:t>
      </w:r>
      <w:r w:rsidR="00686B53" w:rsidRPr="00686B53">
        <w:rPr>
          <w:sz w:val="24"/>
          <w:szCs w:val="24"/>
        </w:rPr>
        <w:t>, P.O. Box 7</w:t>
      </w:r>
      <w:r w:rsidR="00AB24D3">
        <w:rPr>
          <w:sz w:val="24"/>
          <w:szCs w:val="24"/>
        </w:rPr>
        <w:t>2</w:t>
      </w:r>
      <w:r w:rsidR="00686B53" w:rsidRPr="00686B53">
        <w:rPr>
          <w:sz w:val="24"/>
          <w:szCs w:val="24"/>
        </w:rPr>
        <w:t xml:space="preserve">, </w:t>
      </w:r>
      <w:r w:rsidR="00AB24D3">
        <w:rPr>
          <w:sz w:val="24"/>
          <w:szCs w:val="24"/>
        </w:rPr>
        <w:t>Omak</w:t>
      </w:r>
      <w:r w:rsidR="00686B53" w:rsidRPr="00686B53">
        <w:rPr>
          <w:sz w:val="24"/>
          <w:szCs w:val="24"/>
        </w:rPr>
        <w:t>, WA 988</w:t>
      </w:r>
      <w:r w:rsidR="00AB24D3">
        <w:rPr>
          <w:sz w:val="24"/>
          <w:szCs w:val="24"/>
        </w:rPr>
        <w:t>41</w:t>
      </w:r>
      <w:r w:rsidR="00686B53" w:rsidRPr="00686B53">
        <w:rPr>
          <w:sz w:val="24"/>
          <w:szCs w:val="24"/>
        </w:rPr>
        <w:t xml:space="preserve">, 509 </w:t>
      </w:r>
      <w:r w:rsidR="00AB24D3">
        <w:rPr>
          <w:sz w:val="24"/>
          <w:szCs w:val="24"/>
        </w:rPr>
        <w:t>826 1170</w:t>
      </w:r>
    </w:p>
    <w:p w14:paraId="3FF70F4F" w14:textId="77777777" w:rsidR="0065005B" w:rsidRPr="00686B53" w:rsidRDefault="0065005B" w:rsidP="00686B53">
      <w:pPr>
        <w:pStyle w:val="BodyText"/>
        <w:ind w:left="115"/>
        <w:rPr>
          <w:u w:val="none"/>
        </w:rPr>
      </w:pPr>
    </w:p>
    <w:p w14:paraId="0413305B" w14:textId="77777777" w:rsidR="0065005B" w:rsidRDefault="0065005B">
      <w:pPr>
        <w:pStyle w:val="BodyText"/>
        <w:rPr>
          <w:sz w:val="17"/>
          <w:u w:val="none"/>
        </w:rPr>
      </w:pPr>
    </w:p>
    <w:p w14:paraId="6F32C0B0" w14:textId="77777777" w:rsidR="0065005B" w:rsidRDefault="0065005B">
      <w:pPr>
        <w:rPr>
          <w:sz w:val="17"/>
        </w:rPr>
        <w:sectPr w:rsidR="0065005B" w:rsidSect="003B60D1">
          <w:type w:val="continuous"/>
          <w:pgSz w:w="12240" w:h="15840"/>
          <w:pgMar w:top="720" w:right="1380" w:bottom="280" w:left="1320" w:header="720" w:footer="720" w:gutter="0"/>
          <w:cols w:space="720"/>
        </w:sectPr>
      </w:pPr>
    </w:p>
    <w:p w14:paraId="09171188" w14:textId="1B5B06FA" w:rsidR="0065005B" w:rsidRDefault="00F25DB8">
      <w:pPr>
        <w:pStyle w:val="BodyText"/>
        <w:tabs>
          <w:tab w:val="left" w:pos="5618"/>
        </w:tabs>
        <w:spacing w:before="90"/>
        <w:ind w:left="119"/>
        <w:jc w:val="center"/>
        <w:rPr>
          <w:u w:val="none"/>
        </w:rPr>
      </w:pPr>
      <w:r>
        <w:rPr>
          <w:u w:val="none"/>
        </w:rPr>
        <w:t>Signature</w:t>
      </w:r>
      <w:r>
        <w:t xml:space="preserve"> </w:t>
      </w:r>
      <w:r w:rsidR="00A53C66">
        <w:t>TW</w:t>
      </w:r>
      <w:r>
        <w:tab/>
      </w:r>
    </w:p>
    <w:p w14:paraId="55084FF8" w14:textId="77777777" w:rsidR="0065005B" w:rsidRDefault="00F25DB8" w:rsidP="00F25DB8">
      <w:pPr>
        <w:ind w:left="114" w:firstLine="606"/>
        <w:jc w:val="center"/>
        <w:rPr>
          <w:sz w:val="20"/>
        </w:rPr>
      </w:pPr>
      <w:r>
        <w:rPr>
          <w:sz w:val="20"/>
        </w:rPr>
        <w:t>(electronic signature or name of signor is sufficient)</w:t>
      </w:r>
    </w:p>
    <w:p w14:paraId="3AF0B476" w14:textId="6F8488D9" w:rsidR="0065005B" w:rsidRDefault="00F25DB8">
      <w:pPr>
        <w:pStyle w:val="BodyText"/>
        <w:tabs>
          <w:tab w:val="left" w:pos="3441"/>
        </w:tabs>
        <w:spacing w:before="90"/>
        <w:ind w:left="119"/>
        <w:rPr>
          <w:u w:val="none"/>
        </w:rPr>
      </w:pPr>
      <w:r>
        <w:rPr>
          <w:u w:val="none"/>
        </w:rPr>
        <w:br w:type="column"/>
      </w:r>
      <w:r>
        <w:rPr>
          <w:spacing w:val="-3"/>
          <w:u w:val="none"/>
        </w:rPr>
        <w:t xml:space="preserve">Date  </w:t>
      </w:r>
      <w:r>
        <w:rPr>
          <w:spacing w:val="-9"/>
          <w:u w:val="none"/>
        </w:rPr>
        <w:t xml:space="preserve"> </w:t>
      </w:r>
      <w:r>
        <w:t xml:space="preserve"> </w:t>
      </w:r>
      <w:r w:rsidR="00A53C66">
        <w:t>10/04/2023</w:t>
      </w:r>
      <w:r>
        <w:tab/>
      </w:r>
    </w:p>
    <w:p w14:paraId="3F47E4C4" w14:textId="77777777" w:rsidR="0065005B" w:rsidRDefault="0065005B">
      <w:pPr>
        <w:sectPr w:rsidR="0065005B">
          <w:type w:val="continuous"/>
          <w:pgSz w:w="12240" w:h="15840"/>
          <w:pgMar w:top="1400" w:right="1380" w:bottom="280" w:left="1320" w:header="720" w:footer="720" w:gutter="0"/>
          <w:cols w:num="2" w:space="720" w:equalWidth="0">
            <w:col w:w="5619" w:space="321"/>
            <w:col w:w="3600"/>
          </w:cols>
        </w:sectPr>
      </w:pPr>
    </w:p>
    <w:p w14:paraId="441FFB22" w14:textId="77777777" w:rsidR="0065005B" w:rsidRDefault="0065005B">
      <w:pPr>
        <w:pStyle w:val="BodyText"/>
        <w:rPr>
          <w:sz w:val="20"/>
          <w:u w:val="none"/>
        </w:rPr>
      </w:pPr>
    </w:p>
    <w:sectPr w:rsidR="0065005B">
      <w:type w:val="continuous"/>
      <w:pgSz w:w="12240" w:h="15840"/>
      <w:pgMar w:top="1400" w:right="13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5B"/>
    <w:rsid w:val="0006463D"/>
    <w:rsid w:val="000665B5"/>
    <w:rsid w:val="0016540C"/>
    <w:rsid w:val="00217EA9"/>
    <w:rsid w:val="00221CBD"/>
    <w:rsid w:val="002A543A"/>
    <w:rsid w:val="003B60D1"/>
    <w:rsid w:val="005C0103"/>
    <w:rsid w:val="0065005B"/>
    <w:rsid w:val="00686B53"/>
    <w:rsid w:val="006B02D8"/>
    <w:rsid w:val="008D3BFF"/>
    <w:rsid w:val="00A53C66"/>
    <w:rsid w:val="00AB24D3"/>
    <w:rsid w:val="00D93433"/>
    <w:rsid w:val="00F2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0DA4"/>
  <w15:docId w15:val="{1258BC56-1F88-4DF1-960C-8673A49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3B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8D3BF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D3BF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B60D1"/>
    <w:rPr>
      <w:color w:val="0000FF" w:themeColor="hyperlink"/>
      <w:u w:val="single"/>
    </w:rPr>
  </w:style>
  <w:style w:type="character" w:customStyle="1" w:styleId="WACText">
    <w:name w:val="WACText"/>
    <w:basedOn w:val="DefaultParagraphFont"/>
    <w:rsid w:val="000665B5"/>
    <w:rPr>
      <w:rFonts w:ascii="Courier" w:hAnsi="Courier"/>
      <w:noProof w:val="0"/>
      <w:sz w:val="24"/>
      <w:lang w:val="en-US"/>
    </w:rPr>
  </w:style>
  <w:style w:type="paragraph" w:customStyle="1" w:styleId="HRt-2">
    <w:name w:val="HRt-2"/>
    <w:rsid w:val="000665B5"/>
    <w:pPr>
      <w:tabs>
        <w:tab w:val="left" w:pos="-720"/>
      </w:tabs>
      <w:suppressAutoHyphens/>
      <w:autoSpaceDE/>
      <w:autoSpaceDN/>
      <w:spacing w:line="321" w:lineRule="exact"/>
    </w:pPr>
    <w:rPr>
      <w:rFonts w:ascii="Courier" w:eastAsia="Times New Roman" w:hAnsi="Courier" w:cs="Times New Roman"/>
      <w:snapToGrid w:val="0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66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818FE815944396760D6384665E27" ma:contentTypeVersion="8" ma:contentTypeDescription="Create a new document." ma:contentTypeScope="" ma:versionID="fb0fa2691540fff06ec7f8f08f63a0b1">
  <xsd:schema xmlns:xsd="http://www.w3.org/2001/XMLSchema" xmlns:xs="http://www.w3.org/2001/XMLSchema" xmlns:p="http://schemas.microsoft.com/office/2006/metadata/properties" xmlns:ns2="37257612-5d47-431a-8fe9-a0ae73ec8f13" xmlns:ns3="1894a977-9fca-4531-ac00-b52a0f7db8a2" targetNamespace="http://schemas.microsoft.com/office/2006/metadata/properties" ma:root="true" ma:fieldsID="b1b0bd9dddf905de693b76a156c76a22" ns2:_="" ns3:_="">
    <xsd:import namespace="37257612-5d47-431a-8fe9-a0ae73ec8f13"/>
    <xsd:import namespace="1894a977-9fca-4531-ac00-b52a0f7db8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7612-5d47-431a-8fe9-a0ae73ec8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4a977-9fca-4531-ac00-b52a0f7db8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CDA56B-59DD-4631-BBE9-DF3064C13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D1584-E2EA-4A9D-BC80-96B247F22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1467C3-0729-4E2C-AE55-DE891A283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57612-5d47-431a-8fe9-a0ae73ec8f13"/>
    <ds:schemaRef ds:uri="1894a977-9fca-4531-ac00-b52a0f7db8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Szvetecz, Annie (ECY)</dc:creator>
  <cp:lastModifiedBy>Tyler Wells</cp:lastModifiedBy>
  <cp:revision>3</cp:revision>
  <cp:lastPrinted>2018-03-14T23:34:00Z</cp:lastPrinted>
  <dcterms:created xsi:type="dcterms:W3CDTF">2023-10-04T16:03:00Z</dcterms:created>
  <dcterms:modified xsi:type="dcterms:W3CDTF">2023-10-04T17:19:00Z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2017-09-05T00:00:00Z</vt:filetime>
  </property>
  <property fmtid="{D5CDD505-2E9C-101B-9397-08002B2CF9AE}" pid="5" name="ContentTypeId">
    <vt:lpwstr>0x010100495A818FE815944396760D6384665E27</vt:lpwstr>
  </property>
</Properties>
</file>